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0" w:after="40"/>
      </w:pPr>
      <w:r>
        <w:rPr>
          <w:rFonts w:ascii="Arial" w:hAnsi="Arial"/>
          <w:b/>
          <w:color w:val="BA0C2F"/>
          <w:sz w:val="20"/>
        </w:rPr>
        <w:t>Digital Accessibility Field Guide</w:t>
      </w:r>
    </w:p>
    <w:p>
      <w:pPr>
        <w:pStyle w:val="Heading1"/>
      </w:pPr>
      <w:r>
        <w:t>Microsoft PowerPoint</w:t>
      </w:r>
    </w:p>
    <w:p>
      <w:pPr>
        <w:spacing w:before="120" w:after="200"/>
      </w:pPr>
      <w:r>
        <w:t>Use this quick card to build PowerPoint slides that are structured, legible, and accessible to screen readers, keyboards, and audiences in the back of the room.</w:t>
      </w:r>
    </w:p>
    <w:p>
      <w:pPr>
        <w:pStyle w:val="Heading2"/>
      </w:pPr>
      <w:r>
        <w:t>Use an accessibility checker</w:t>
      </w:r>
    </w:p>
    <w:p>
      <w:pPr>
        <w:pStyle w:val="ListBullet"/>
        <w:spacing w:before="40" w:after="40"/>
      </w:pPr>
      <w:r>
        <w:t>Open Review &gt; Check Accessibility to find barriers and suggested fixes.</w:t>
      </w:r>
    </w:p>
    <w:p>
      <w:pPr>
        <w:pStyle w:val="ListBullet"/>
        <w:spacing w:before="40" w:after="40"/>
      </w:pPr>
      <w:r>
        <w:t>Resolve Errors, Warnings, and Tips before sharing the deck.</w:t>
      </w:r>
    </w:p>
    <w:p>
      <w:pPr>
        <w:pStyle w:val="Heading2"/>
      </w:pPr>
      <w:r>
        <w:t>Give every slide a unique title</w:t>
      </w:r>
    </w:p>
    <w:p>
      <w:pPr>
        <w:pStyle w:val="ListBullet"/>
        <w:spacing w:before="40" w:after="40"/>
      </w:pPr>
      <w:r>
        <w:t>Start from built-in slide layouts that include a title placeholder.</w:t>
      </w:r>
    </w:p>
    <w:p>
      <w:pPr>
        <w:pStyle w:val="ListBullet"/>
        <w:spacing w:before="40" w:after="40"/>
      </w:pPr>
      <w:r>
        <w:t>Write a unique, meaningful title for each slide — titles help screen readers navigate.</w:t>
      </w:r>
    </w:p>
    <w:p>
      <w:pPr>
        <w:pStyle w:val="ListBullet"/>
        <w:spacing w:before="40" w:after="40"/>
      </w:pPr>
      <w:r>
        <w:t>If a title should not be visible, move the placeholder off-slide rather than deleting it.</w:t>
      </w:r>
    </w:p>
    <w:p>
      <w:pPr>
        <w:pStyle w:val="Heading2"/>
      </w:pPr>
      <w:r>
        <w:t>Add alt text to visuals</w:t>
      </w:r>
    </w:p>
    <w:p>
      <w:pPr>
        <w:pStyle w:val="ListBullet"/>
        <w:spacing w:before="40" w:after="40"/>
      </w:pPr>
      <w:r>
        <w:t>Right-click an image, chart, or shape and choose View Alt Text.</w:t>
      </w:r>
    </w:p>
    <w:p>
      <w:pPr>
        <w:pStyle w:val="ListBullet"/>
        <w:spacing w:before="40" w:after="40"/>
      </w:pPr>
      <w:r>
        <w:t>Describe the visual's meaning in one or two concise sentences.</w:t>
      </w:r>
    </w:p>
    <w:p>
      <w:pPr>
        <w:pStyle w:val="ListBullet"/>
        <w:spacing w:before="40" w:after="40"/>
      </w:pPr>
      <w:r>
        <w:t>Mark purely decorative visuals with "Mark as decorative."</w:t>
      </w:r>
    </w:p>
    <w:p>
      <w:pPr>
        <w:pStyle w:val="Heading2"/>
      </w:pPr>
      <w:r>
        <w:t>Verify reading order</w:t>
      </w:r>
    </w:p>
    <w:p>
      <w:pPr>
        <w:pStyle w:val="ListBullet"/>
        <w:spacing w:before="40" w:after="40"/>
      </w:pPr>
      <w:r>
        <w:t>Open Home &gt; Select &gt; Selection Pane — items are read bottom-up.</w:t>
      </w:r>
    </w:p>
    <w:p>
      <w:pPr>
        <w:pStyle w:val="ListBullet"/>
        <w:spacing w:before="40" w:after="40"/>
      </w:pPr>
      <w:r>
        <w:t>Reorder text boxes, shapes, and images so they follow a logical flow.</w:t>
      </w:r>
    </w:p>
    <w:p>
      <w:pPr>
        <w:pStyle w:val="ListBullet"/>
        <w:spacing w:before="40" w:after="40"/>
      </w:pPr>
      <w:r>
        <w:t>Avoid floating text boxes on Blank layouts; use built-in layouts instead.</w:t>
      </w:r>
    </w:p>
    <w:p>
      <w:pPr>
        <w:pStyle w:val="Heading2"/>
      </w:pPr>
      <w:r>
        <w:t>Use readable text and color</w:t>
      </w:r>
    </w:p>
    <w:p>
      <w:pPr>
        <w:pStyle w:val="ListBullet"/>
        <w:spacing w:before="40" w:after="40"/>
      </w:pPr>
      <w:r>
        <w:t>Use at least 24 pt body text in a sans-serif font (Arial, Calibri, Aptos).</w:t>
      </w:r>
    </w:p>
    <w:p>
      <w:pPr>
        <w:pStyle w:val="ListBullet"/>
        <w:spacing w:before="40" w:after="40"/>
      </w:pPr>
      <w:r>
        <w:t>Keep body text contrast at 4.5:1; large text needs 3:1.</w:t>
      </w:r>
    </w:p>
    <w:p>
      <w:pPr>
        <w:pStyle w:val="ListBullet"/>
        <w:spacing w:before="40" w:after="40"/>
      </w:pPr>
      <w:r>
        <w:t>Don't rely on color alone — label chart series and key items directly.</w:t>
      </w:r>
    </w:p>
    <w:p>
      <w:pPr>
        <w:spacing w:before="360" w:after="0"/>
        <w:pBdr>
          <w:top w:val="single" w:sz="8" w:space="1" w:color="BA0C2F"/>
        </w:pBdr>
      </w:pPr>
      <w:hyperlink r:id="rId9" w:history="1">
        <w:r>
          <w:rPr>
            <w:rStyle w:val="Hyperlink"/>
            <w:b/>
            <w:color w:val="BA0C2F"/>
          </w:rPr>
          <w:t xml:space="preserve">Digital Accessibility Services Hub</w:t>
        </w:r>
      </w:hyperlink>
      <w:r>
        <w:rPr>
          <w:b/>
          <w:color w:val="BA0C2F"/>
        </w:rPr>
        <w:t xml:space="preserve">: </w:t>
      </w:r>
      <w:r>
        <w:rPr>
          <w:color w:val="222222"/>
        </w:rPr>
        <w:t>dash.uga.edu</w:t>
      </w:r>
      <w:r>
        <w:tab/>
      </w:r>
      <w:r>
        <w:tab/>
      </w:r>
      <w:hyperlink r:id="rId10" w:history="1">
        <w:r>
          <w:rPr>
            <w:rStyle w:val="Hyperlink"/>
            <w:b/>
            <w:color w:val="BA0C2F"/>
          </w:rPr>
          <w:t xml:space="preserve">Contact DASH</w:t>
        </w:r>
      </w:hyperlink>
      <w:r>
        <w:rPr>
          <w:b/>
          <w:color w:val="BA0C2F"/>
        </w:rPr>
        <w:t xml:space="preserve">: </w:t>
      </w:r>
      <w:r>
        <w:rPr>
          <w:color w:val="222222"/>
        </w:rPr>
        <w:t>dash@uga.edu</w:t>
      </w:r>
    </w:p>
    <w:p>
      <w:pPr>
        <w:spacing w:before="40" w:after="0"/>
      </w:pPr>
      <w:r>
        <w:rPr>
          <w:i/>
          <w:color w:val="222222"/>
        </w:rPr>
        <w:t>Published by the University of Georgia Digital Accessibility Services Hub (DASH).</w:t>
      </w:r>
    </w:p>
    <w:sectPr w:rsidR="00FC693F" w:rsidRPr="0006063C" w:rsidSect="00034616">
      <w:pgSz w:w="12240" w:h="15840"/>
      <w:pgMar w:top="864" w:right="864" w:bottom="864" w:left="86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/>
      <w:color w:val="222222"/>
      <w:sz w:val="22"/>
      <w:lang w:val="en-US" w:eastAsia="en-US" w:bidi="ar-SA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next w:val="Normal"/>
    <w:link w:val="Heading1Char"/>
    <w:uiPriority w:val="9"/>
    <w:qFormat/>
    <w:rsid w:val="00FC693F"/>
    <w:pPr>
      <w:keepNext/>
      <w:keepLines/>
      <w:spacing w:before="120" w:after="180" w:line="276" w:lineRule="auto"/>
      <w:outlineLvl w:val="0"/>
      <w:shd w:val="clear" w:color="auto" w:fill="BA0C2F"/>
      <w:ind w:left="120" w:right="120"/>
    </w:pPr>
    <w:rPr>
      <w:rFonts w:asciiTheme="majorHAnsi" w:eastAsiaTheme="majorEastAsia" w:hAnsiTheme="majorHAnsi" w:cstheme="majorBidi" w:ascii="Arial" w:hAnsi="Arial"/>
      <w:b/>
      <w:bCs/>
      <w:color w:val="FFFFFF"/>
      <w:sz w:val="48"/>
      <w:szCs w:val="28"/>
    </w:rPr>
  </w:style>
  <w:style w:type="paragraph" w:styleId="Heading2">
    <w:name w:val="heading 2"/>
    <w:next w:val="Normal"/>
    <w:link w:val="Heading2Char"/>
    <w:uiPriority w:val="9"/>
    <w:unhideWhenUsed/>
    <w:qFormat/>
    <w:rsid w:val="00FC693F"/>
    <w:pPr>
      <w:keepNext/>
      <w:keepLines/>
      <w:spacing w:before="180" w:after="100" w:line="276" w:lineRule="auto"/>
      <w:outlineLvl w:val="1"/>
      <w:shd w:val="clear" w:color="auto" w:fill="BA0C2F"/>
      <w:ind w:left="120" w:right="120"/>
    </w:pPr>
    <w:rPr>
      <w:rFonts w:asciiTheme="majorHAnsi" w:eastAsiaTheme="majorEastAsia" w:hAnsiTheme="majorHAnsi" w:cstheme="majorBidi" w:ascii="Arial" w:hAnsi="Arial"/>
      <w:b/>
      <w:bCs/>
      <w:color w:val="FFFFFF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spacing w:before="40" w:after="40" w:line="276" w:lineRule="auto"/>
      <w:numPr>
        <w:numId w:val="1"/>
      </w:numPr>
      <w:contextualSpacing/>
    </w:pPr>
    <w:rPr>
      <w:rFonts w:ascii="Arial" w:hAnsi="Arial"/>
      <w:color w:val="222222"/>
      <w:sz w:val="22"/>
    </w:r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yperlink" Target="https://dash.uga.edu" TargetMode="External"/><Relationship Id="rId10" Type="http://schemas.openxmlformats.org/officeDocument/2006/relationships/hyperlink" Target="mailto:dash@uga.ed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PowerPoint Field Guide</dc:title>
  <dc:subject>Digital Accessibility Quick Reference</dc:subject>
  <dc:creator>UGA Digital Accessibility Services Hub (DASH)</dc:creator>
  <cp:keywords>accessibility; WCAG; DASH; UGA; quick reference</cp:keywords>
  <dc:description>One-page quick reference for creating accessible Microsoft PowerPoint content. Published by the University of Georgia Digital Accessibility Services Hub (DASH).</dc:description>
  <cp:lastModifiedBy>UGA Digital Accessibility Services Hub (DASH)</cp:lastModifiedBy>
  <cp:revision>1</cp:revision>
  <dcterms:created xsi:type="dcterms:W3CDTF">2013-12-23T23:15:00Z</dcterms:created>
  <dcterms:modified xsi:type="dcterms:W3CDTF">2013-12-23T23:15:00Z</dcterms:modified>
  <cp:category>Accessibility</cp:category>
  <cp:contentStatus>Final</cp:contentStatus>
</cp:coreProperties>
</file>